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仿宋_GB2312"/>
          <w:bCs/>
          <w:color w:val="000000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仿宋_GB2312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湖州市房屋建筑和市政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</w:rPr>
        <w:t>基础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设施工程监理商务标评标基准价确定方式表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/>
          <w:color w:val="000000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2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/>
                <w:color w:val="000000"/>
                <w:sz w:val="28"/>
                <w:szCs w:val="28"/>
              </w:rPr>
              <w:t>工程类型</w:t>
            </w:r>
          </w:p>
        </w:tc>
        <w:tc>
          <w:tcPr>
            <w:tcW w:w="4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/>
                <w:color w:val="000000"/>
                <w:sz w:val="28"/>
                <w:szCs w:val="28"/>
              </w:rPr>
              <w:t>商务标评标基准价确定方式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评标基准价1=经评审的各有效合理投标价格算术平均值×（1+浮动率C）×投标价格权重B+招标控制价×（1－浮动率A）×（1－投标价格权重B）；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评标基准价2=〔(经评审的各有效合理投标报价中的次低价+经评审的各有效合理投标报价算术平均值)</w:t>
            </w:r>
            <w:r>
              <w:rPr>
                <w:rFonts w:ascii="仿宋_GB2312"/>
                <w:color w:val="000000"/>
                <w:sz w:val="28"/>
                <w:szCs w:val="28"/>
              </w:rPr>
              <w:t>÷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2〕×（1+浮动率C）×投标价格权重B+招标控制价×（1－浮动率A）×（1－投标价格权重B）。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浮动率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随机取：2%、2.5%、3%、3.5%、4%、4.5%、5%、5.5%、6%、6.5%、7%十一档数值；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投标价格权重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随机取：40%、42%、44%、46%、48%、50%、52%、54%、56%、58%、60%十一档数值；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浮动率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随机取：－1.5%、－1.0%、－0.5%、0%、0.5%、1.0%、1.5%七档数值。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/>
          <w:color w:val="000000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/>
          <w:color w:val="000000"/>
          <w:sz w:val="28"/>
          <w:szCs w:val="24"/>
        </w:rPr>
      </w:pPr>
      <w:r>
        <w:rPr>
          <w:rFonts w:hint="eastAsia" w:ascii="仿宋_GB2312"/>
          <w:color w:val="000000"/>
          <w:sz w:val="28"/>
          <w:szCs w:val="24"/>
        </w:rPr>
        <w:t>备注：1.在开标时所有商务报价宣读完毕后，浮动率A和权重B和浮动率C按招标文件约定由招标人代表当场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rFonts w:ascii="仿宋_GB2312"/>
          <w:color w:val="000000"/>
          <w:sz w:val="28"/>
          <w:szCs w:val="24"/>
        </w:rPr>
      </w:pPr>
      <w:r>
        <w:rPr>
          <w:rFonts w:hint="eastAsia" w:ascii="仿宋_GB2312"/>
          <w:color w:val="000000"/>
          <w:sz w:val="28"/>
          <w:szCs w:val="24"/>
        </w:rPr>
        <w:t>分别在规定数值中随机抽取；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</w:pPr>
      <w:r>
        <w:rPr>
          <w:rFonts w:hint="eastAsia" w:ascii="仿宋_GB2312"/>
          <w:color w:val="000000"/>
          <w:sz w:val="28"/>
          <w:szCs w:val="24"/>
        </w:rPr>
        <w:t>2.评标基准价(除计算差错外)一经确定在项目的后续评审中不再调整（包括复评环节）。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B7E8D"/>
    <w:rsid w:val="7BEB7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spacing w:after="100" w:line="259" w:lineRule="auto"/>
    </w:pPr>
    <w:rPr>
      <w:rFonts w:ascii="等线" w:hAnsi="等线" w:eastAsia="等线" w:cstheme="minorBidi"/>
      <w:sz w:val="22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2022-12-28T07:12:00Z</dcterms:created>
  <dc:creator>admin</dc:creator>
  <cp:lastModifiedBy>admin</cp:lastModifiedBy>
  <dcterms:modified xsi:type="dcterms:W3CDTF">2022-12-28T07:13:49Z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